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85D" w:rsidRDefault="004B385D" w:rsidP="004B385D">
      <w:pPr>
        <w:autoSpaceDE w:val="0"/>
        <w:autoSpaceDN w:val="0"/>
        <w:adjustRightInd w:val="0"/>
        <w:spacing w:after="0" w:line="276" w:lineRule="auto"/>
        <w:ind w:left="360"/>
        <w:jc w:val="both"/>
        <w:rPr>
          <w:rFonts w:ascii="Times New Roman" w:eastAsia="Times New Roman" w:hAnsi="Times New Roman" w:cs="Times New Roman"/>
          <w:color w:val="000000"/>
          <w:sz w:val="24"/>
          <w:szCs w:val="24"/>
        </w:rPr>
      </w:pPr>
      <w:bookmarkStart w:id="0" w:name="_GoBack"/>
      <w:bookmarkEnd w:id="0"/>
    </w:p>
    <w:p w:rsidR="004B385D" w:rsidRDefault="004B385D" w:rsidP="004B385D">
      <w:pPr>
        <w:autoSpaceDE w:val="0"/>
        <w:autoSpaceDN w:val="0"/>
        <w:adjustRightInd w:val="0"/>
        <w:spacing w:after="0" w:line="240" w:lineRule="auto"/>
        <w:ind w:left="360"/>
        <w:jc w:val="center"/>
        <w:rPr>
          <w:rFonts w:ascii="Times New Roman" w:eastAsia="Times New Roman" w:hAnsi="Times New Roman" w:cs="Times New Roman"/>
          <w:b/>
          <w:bCs/>
          <w:color w:val="000000"/>
          <w:sz w:val="32"/>
          <w:szCs w:val="32"/>
        </w:rPr>
      </w:pPr>
      <w:r w:rsidRPr="00FB5689">
        <w:rPr>
          <w:rFonts w:ascii="Times New Roman" w:eastAsia="Times New Roman" w:hAnsi="Times New Roman" w:cs="Times New Roman"/>
          <w:b/>
          <w:bCs/>
          <w:color w:val="000000"/>
          <w:sz w:val="32"/>
          <w:szCs w:val="32"/>
        </w:rPr>
        <w:t>Ph. D</w:t>
      </w:r>
      <w:r>
        <w:rPr>
          <w:rFonts w:ascii="Times New Roman" w:eastAsia="Times New Roman" w:hAnsi="Times New Roman" w:cs="Times New Roman"/>
          <w:b/>
          <w:bCs/>
          <w:color w:val="000000"/>
          <w:sz w:val="32"/>
          <w:szCs w:val="32"/>
        </w:rPr>
        <w:t>.</w:t>
      </w:r>
      <w:r w:rsidRPr="00FB5689">
        <w:rPr>
          <w:rFonts w:ascii="Times New Roman" w:eastAsia="Times New Roman" w:hAnsi="Times New Roman" w:cs="Times New Roman"/>
          <w:b/>
          <w:bCs/>
          <w:color w:val="000000"/>
          <w:sz w:val="32"/>
          <w:szCs w:val="32"/>
        </w:rPr>
        <w:t xml:space="preserve"> course </w:t>
      </w:r>
      <w:r>
        <w:rPr>
          <w:rFonts w:ascii="Times New Roman" w:eastAsia="Times New Roman" w:hAnsi="Times New Roman" w:cs="Times New Roman"/>
          <w:b/>
          <w:bCs/>
          <w:color w:val="000000"/>
          <w:sz w:val="32"/>
          <w:szCs w:val="32"/>
        </w:rPr>
        <w:t xml:space="preserve">in organic chemistry </w:t>
      </w:r>
    </w:p>
    <w:p w:rsidR="004B385D" w:rsidRPr="00FB5689" w:rsidRDefault="004B385D" w:rsidP="004B385D">
      <w:pPr>
        <w:autoSpaceDE w:val="0"/>
        <w:autoSpaceDN w:val="0"/>
        <w:adjustRightInd w:val="0"/>
        <w:spacing w:after="0" w:line="240" w:lineRule="auto"/>
        <w:ind w:left="360"/>
        <w:jc w:val="center"/>
        <w:rPr>
          <w:rFonts w:ascii="Times New Roman" w:eastAsia="Times New Roman" w:hAnsi="Times New Roman" w:cs="Times New Roman"/>
          <w:b/>
          <w:bCs/>
          <w:color w:val="000000"/>
          <w:sz w:val="32"/>
          <w:szCs w:val="32"/>
        </w:rPr>
      </w:pPr>
      <w:r w:rsidRPr="00FB5689">
        <w:rPr>
          <w:rFonts w:ascii="Times New Roman" w:eastAsia="Times New Roman" w:hAnsi="Times New Roman" w:cs="Times New Roman"/>
          <w:b/>
          <w:bCs/>
          <w:color w:val="000000"/>
          <w:sz w:val="32"/>
          <w:szCs w:val="32"/>
        </w:rPr>
        <w:t>For first semester 2017-2018</w:t>
      </w:r>
    </w:p>
    <w:p w:rsidR="004B385D" w:rsidRPr="00FB5689" w:rsidRDefault="004B385D" w:rsidP="004B385D">
      <w:pPr>
        <w:autoSpaceDE w:val="0"/>
        <w:autoSpaceDN w:val="0"/>
        <w:adjustRightInd w:val="0"/>
        <w:spacing w:after="0" w:line="240" w:lineRule="auto"/>
        <w:ind w:left="360"/>
        <w:jc w:val="center"/>
        <w:rPr>
          <w:rFonts w:ascii="Times New Roman" w:eastAsia="Times New Roman" w:hAnsi="Times New Roman" w:cs="Times New Roman"/>
          <w:b/>
          <w:bCs/>
          <w:color w:val="000000"/>
          <w:sz w:val="32"/>
          <w:szCs w:val="32"/>
        </w:rPr>
      </w:pPr>
      <w:r w:rsidRPr="00FB5689">
        <w:rPr>
          <w:rFonts w:ascii="Times New Roman" w:eastAsia="Times New Roman" w:hAnsi="Times New Roman" w:cs="Times New Roman"/>
          <w:b/>
          <w:bCs/>
          <w:color w:val="000000"/>
          <w:sz w:val="32"/>
          <w:szCs w:val="32"/>
        </w:rPr>
        <w:t>Department of Chemistry</w:t>
      </w:r>
    </w:p>
    <w:p w:rsidR="004B385D" w:rsidRPr="00FB5689" w:rsidRDefault="004B385D" w:rsidP="004B385D">
      <w:pPr>
        <w:autoSpaceDE w:val="0"/>
        <w:autoSpaceDN w:val="0"/>
        <w:adjustRightInd w:val="0"/>
        <w:spacing w:after="0" w:line="240" w:lineRule="auto"/>
        <w:ind w:left="360"/>
        <w:jc w:val="center"/>
        <w:rPr>
          <w:rFonts w:asciiTheme="majorBidi" w:hAnsiTheme="majorBidi" w:cstheme="majorBidi"/>
          <w:b/>
          <w:bCs/>
          <w:sz w:val="32"/>
          <w:szCs w:val="32"/>
        </w:rPr>
      </w:pPr>
      <w:r w:rsidRPr="00FB5689">
        <w:rPr>
          <w:rFonts w:ascii="Times New Roman" w:eastAsia="Times New Roman" w:hAnsi="Times New Roman" w:cs="Times New Roman"/>
          <w:b/>
          <w:bCs/>
          <w:color w:val="000000"/>
          <w:sz w:val="32"/>
          <w:szCs w:val="32"/>
        </w:rPr>
        <w:t>College of Science</w:t>
      </w:r>
    </w:p>
    <w:p w:rsidR="004B385D" w:rsidRPr="00FB5689" w:rsidRDefault="004B385D" w:rsidP="004B385D">
      <w:pPr>
        <w:autoSpaceDE w:val="0"/>
        <w:autoSpaceDN w:val="0"/>
        <w:adjustRightInd w:val="0"/>
        <w:spacing w:after="0" w:line="276" w:lineRule="auto"/>
        <w:jc w:val="both"/>
        <w:rPr>
          <w:rFonts w:asciiTheme="majorBidi" w:hAnsiTheme="majorBidi" w:cstheme="majorBidi"/>
          <w:sz w:val="28"/>
          <w:szCs w:val="28"/>
        </w:rPr>
      </w:pPr>
    </w:p>
    <w:p w:rsidR="004B385D" w:rsidRPr="00B91780" w:rsidRDefault="004B385D" w:rsidP="004B385D">
      <w:pPr>
        <w:autoSpaceDE w:val="0"/>
        <w:autoSpaceDN w:val="0"/>
        <w:adjustRightInd w:val="0"/>
        <w:spacing w:after="0" w:line="276" w:lineRule="auto"/>
        <w:jc w:val="both"/>
        <w:rPr>
          <w:rFonts w:asciiTheme="majorBidi" w:hAnsiTheme="majorBidi" w:cstheme="majorBidi"/>
          <w:sz w:val="24"/>
          <w:szCs w:val="24"/>
        </w:rPr>
      </w:pPr>
      <w:r w:rsidRPr="00B91780">
        <w:rPr>
          <w:rFonts w:asciiTheme="majorBidi" w:hAnsiTheme="majorBidi" w:cstheme="majorBidi"/>
          <w:caps/>
          <w:sz w:val="24"/>
          <w:szCs w:val="24"/>
          <w:lang w:val="en"/>
        </w:rPr>
        <w:t>Learning Outcomes</w:t>
      </w:r>
    </w:p>
    <w:p w:rsidR="004B385D" w:rsidRPr="00B91780" w:rsidRDefault="004B385D" w:rsidP="004B385D">
      <w:pPr>
        <w:pStyle w:val="Heading2"/>
        <w:spacing w:before="0" w:line="276" w:lineRule="auto"/>
        <w:rPr>
          <w:rFonts w:asciiTheme="majorBidi" w:hAnsiTheme="majorBidi"/>
          <w:caps/>
          <w:color w:val="auto"/>
          <w:sz w:val="24"/>
          <w:szCs w:val="24"/>
          <w:lang w:val="en"/>
        </w:rPr>
      </w:pPr>
      <w:r w:rsidRPr="00B91780">
        <w:rPr>
          <w:rFonts w:asciiTheme="majorBidi" w:hAnsiTheme="majorBidi"/>
          <w:caps/>
          <w:color w:val="auto"/>
          <w:sz w:val="24"/>
          <w:szCs w:val="24"/>
          <w:lang w:val="en"/>
        </w:rPr>
        <w:t>Department of Chemistry</w:t>
      </w:r>
    </w:p>
    <w:p w:rsidR="004B385D" w:rsidRPr="00B91780" w:rsidRDefault="004B385D" w:rsidP="004B385D">
      <w:pPr>
        <w:spacing w:after="0" w:line="276" w:lineRule="auto"/>
        <w:rPr>
          <w:rFonts w:asciiTheme="majorBidi" w:eastAsia="Times New Roman" w:hAnsiTheme="majorBidi" w:cstheme="majorBidi"/>
          <w:color w:val="492F24"/>
          <w:sz w:val="24"/>
          <w:szCs w:val="24"/>
          <w:lang w:val="en"/>
        </w:rPr>
      </w:pPr>
      <w:r w:rsidRPr="00B91780">
        <w:rPr>
          <w:rFonts w:asciiTheme="majorBidi" w:eastAsia="Times New Roman" w:hAnsiTheme="majorBidi" w:cstheme="majorBidi"/>
          <w:color w:val="492F24"/>
          <w:sz w:val="24"/>
          <w:szCs w:val="24"/>
          <w:lang w:val="en"/>
        </w:rPr>
        <w:t>The Chemistry Department has overriding goals which have an impact on both our graduate and undergraduate programs. These include:  </w:t>
      </w:r>
    </w:p>
    <w:p w:rsidR="004B385D" w:rsidRPr="00603C6B" w:rsidRDefault="004B385D" w:rsidP="00603C6B">
      <w:pPr>
        <w:pStyle w:val="ListParagraph"/>
        <w:numPr>
          <w:ilvl w:val="0"/>
          <w:numId w:val="5"/>
        </w:numPr>
        <w:spacing w:after="0" w:line="276" w:lineRule="auto"/>
        <w:rPr>
          <w:rFonts w:asciiTheme="majorBidi" w:eastAsia="Times New Roman" w:hAnsiTheme="majorBidi" w:cstheme="majorBidi"/>
          <w:color w:val="333333"/>
          <w:sz w:val="24"/>
          <w:szCs w:val="24"/>
          <w:lang w:val="en"/>
        </w:rPr>
      </w:pPr>
      <w:r w:rsidRPr="00603C6B">
        <w:rPr>
          <w:rFonts w:asciiTheme="majorBidi" w:eastAsia="Times New Roman" w:hAnsiTheme="majorBidi" w:cstheme="majorBidi"/>
          <w:color w:val="333333"/>
          <w:sz w:val="24"/>
          <w:szCs w:val="24"/>
          <w:lang w:val="en"/>
        </w:rPr>
        <w:t>Developing students as successful professionals.</w:t>
      </w:r>
    </w:p>
    <w:p w:rsidR="004B385D" w:rsidRPr="00603C6B" w:rsidRDefault="004B385D" w:rsidP="00603C6B">
      <w:pPr>
        <w:pStyle w:val="ListParagraph"/>
        <w:numPr>
          <w:ilvl w:val="0"/>
          <w:numId w:val="5"/>
        </w:numPr>
        <w:spacing w:after="0" w:line="276" w:lineRule="auto"/>
        <w:rPr>
          <w:rFonts w:asciiTheme="majorBidi" w:eastAsia="Times New Roman" w:hAnsiTheme="majorBidi" w:cstheme="majorBidi"/>
          <w:color w:val="333333"/>
          <w:sz w:val="24"/>
          <w:szCs w:val="24"/>
          <w:lang w:val="en"/>
        </w:rPr>
      </w:pPr>
      <w:r w:rsidRPr="00603C6B">
        <w:rPr>
          <w:rFonts w:asciiTheme="majorBidi" w:eastAsia="Times New Roman" w:hAnsiTheme="majorBidi" w:cstheme="majorBidi"/>
          <w:color w:val="333333"/>
          <w:sz w:val="24"/>
          <w:szCs w:val="24"/>
          <w:lang w:val="en"/>
        </w:rPr>
        <w:t>Developing students as effective researchers.</w:t>
      </w:r>
    </w:p>
    <w:p w:rsidR="003B1742" w:rsidRDefault="004B385D" w:rsidP="003B1742">
      <w:pPr>
        <w:pStyle w:val="ListParagraph"/>
        <w:numPr>
          <w:ilvl w:val="0"/>
          <w:numId w:val="5"/>
        </w:numPr>
        <w:spacing w:after="0" w:line="276" w:lineRule="auto"/>
        <w:rPr>
          <w:rFonts w:asciiTheme="majorBidi" w:eastAsia="Times New Roman" w:hAnsiTheme="majorBidi" w:cstheme="majorBidi"/>
          <w:color w:val="333333"/>
          <w:sz w:val="24"/>
          <w:szCs w:val="24"/>
          <w:lang w:val="en"/>
        </w:rPr>
      </w:pPr>
      <w:r w:rsidRPr="00603C6B">
        <w:rPr>
          <w:rFonts w:asciiTheme="majorBidi" w:eastAsia="Times New Roman" w:hAnsiTheme="majorBidi" w:cstheme="majorBidi"/>
          <w:color w:val="333333"/>
          <w:sz w:val="24"/>
          <w:szCs w:val="24"/>
          <w:lang w:val="en"/>
        </w:rPr>
        <w:t>Maintaining and enhancing the overall quality of the program. </w:t>
      </w:r>
    </w:p>
    <w:p w:rsidR="003B1742" w:rsidRPr="003B1742" w:rsidRDefault="003B1742" w:rsidP="003B1742">
      <w:pPr>
        <w:spacing w:after="0" w:line="276" w:lineRule="auto"/>
        <w:rPr>
          <w:rFonts w:asciiTheme="majorBidi" w:eastAsia="Times New Roman" w:hAnsiTheme="majorBidi" w:cstheme="majorBidi"/>
          <w:color w:val="333333"/>
          <w:sz w:val="24"/>
          <w:szCs w:val="24"/>
          <w:lang w:val="en"/>
        </w:rPr>
      </w:pPr>
    </w:p>
    <w:p w:rsidR="004B385D" w:rsidRPr="00B91780" w:rsidRDefault="004B385D" w:rsidP="00603C6B">
      <w:pPr>
        <w:pStyle w:val="ListParagraph"/>
        <w:numPr>
          <w:ilvl w:val="0"/>
          <w:numId w:val="4"/>
        </w:numPr>
        <w:tabs>
          <w:tab w:val="clear" w:pos="720"/>
          <w:tab w:val="num" w:pos="360"/>
        </w:tabs>
        <w:spacing w:after="0" w:line="276" w:lineRule="auto"/>
        <w:ind w:right="-225"/>
        <w:outlineLvl w:val="3"/>
        <w:rPr>
          <w:rFonts w:asciiTheme="majorBidi" w:eastAsia="Times New Roman" w:hAnsiTheme="majorBidi" w:cstheme="majorBidi"/>
          <w:b/>
          <w:bCs/>
          <w:sz w:val="24"/>
          <w:szCs w:val="24"/>
          <w:u w:val="single"/>
          <w:lang w:val="en"/>
        </w:rPr>
      </w:pPr>
      <w:r w:rsidRPr="00B91780">
        <w:rPr>
          <w:rFonts w:asciiTheme="majorBidi" w:eastAsia="Times New Roman" w:hAnsiTheme="majorBidi" w:cstheme="majorBidi"/>
          <w:b/>
          <w:bCs/>
          <w:sz w:val="24"/>
          <w:szCs w:val="24"/>
          <w:u w:val="single"/>
          <w:lang w:val="en"/>
        </w:rPr>
        <w:t>Ph.D in Chemistry</w:t>
      </w:r>
    </w:p>
    <w:p w:rsidR="004B385D" w:rsidRPr="00B91780" w:rsidRDefault="004B385D" w:rsidP="004B385D">
      <w:pPr>
        <w:spacing w:after="0" w:line="276" w:lineRule="auto"/>
        <w:ind w:right="-225"/>
        <w:rPr>
          <w:rFonts w:asciiTheme="majorBidi" w:eastAsia="Times New Roman" w:hAnsiTheme="majorBidi" w:cstheme="majorBidi"/>
          <w:color w:val="492F24"/>
          <w:sz w:val="24"/>
          <w:szCs w:val="24"/>
          <w:lang w:val="en"/>
        </w:rPr>
      </w:pPr>
      <w:r w:rsidRPr="00B91780">
        <w:rPr>
          <w:rFonts w:asciiTheme="majorBidi" w:eastAsia="Times New Roman" w:hAnsiTheme="majorBidi" w:cstheme="majorBidi"/>
          <w:color w:val="492F24"/>
          <w:sz w:val="24"/>
          <w:szCs w:val="24"/>
          <w:lang w:val="en"/>
        </w:rPr>
        <w:t>1. Students should have an advanced level understanding of Analytical, Inorganic, Organic, and Physical Chemistry. They should master graduate material in their major area(s) of research. In addition to course work, Ph.D. students are required to pass four cumulative exams covering current topics in chemistry during their first three semesters of graduate study.</w:t>
      </w:r>
    </w:p>
    <w:p w:rsidR="004B385D" w:rsidRPr="00B91780" w:rsidRDefault="004B385D" w:rsidP="004B385D">
      <w:pPr>
        <w:spacing w:after="0" w:line="276" w:lineRule="auto"/>
        <w:ind w:right="-225"/>
        <w:rPr>
          <w:rFonts w:asciiTheme="majorBidi" w:eastAsia="Times New Roman" w:hAnsiTheme="majorBidi" w:cstheme="majorBidi"/>
          <w:color w:val="492F24"/>
          <w:sz w:val="24"/>
          <w:szCs w:val="24"/>
          <w:lang w:val="en"/>
        </w:rPr>
      </w:pPr>
      <w:r w:rsidRPr="00B91780">
        <w:rPr>
          <w:rFonts w:asciiTheme="majorBidi" w:eastAsia="Times New Roman" w:hAnsiTheme="majorBidi" w:cstheme="majorBidi"/>
          <w:color w:val="492F24"/>
          <w:sz w:val="24"/>
          <w:szCs w:val="24"/>
          <w:lang w:val="en"/>
        </w:rPr>
        <w:t>2. Students should broaden their professional foundations through activities such as teaching, internships, fellowships, and grant applications.</w:t>
      </w:r>
    </w:p>
    <w:p w:rsidR="004B385D" w:rsidRPr="00B91780" w:rsidRDefault="004B385D" w:rsidP="004B385D">
      <w:pPr>
        <w:spacing w:after="0" w:line="276" w:lineRule="auto"/>
        <w:ind w:right="-225"/>
        <w:rPr>
          <w:rFonts w:asciiTheme="majorBidi" w:eastAsia="Times New Roman" w:hAnsiTheme="majorBidi" w:cstheme="majorBidi"/>
          <w:color w:val="492F24"/>
          <w:sz w:val="24"/>
          <w:szCs w:val="24"/>
          <w:lang w:val="en"/>
        </w:rPr>
      </w:pPr>
      <w:r w:rsidRPr="00B91780">
        <w:rPr>
          <w:rFonts w:asciiTheme="majorBidi" w:eastAsia="Times New Roman" w:hAnsiTheme="majorBidi" w:cstheme="majorBidi"/>
          <w:color w:val="492F24"/>
          <w:sz w:val="24"/>
          <w:szCs w:val="24"/>
          <w:lang w:val="en"/>
        </w:rPr>
        <w:t>3. Students should be able to communicate the results of their scientific research in writing and in oral presentation. In addition to the final department seminar required of all graduate students, Ph.D. students are required to make an additional presentation at a department seminar or professional meeting.</w:t>
      </w:r>
    </w:p>
    <w:p w:rsidR="004B385D" w:rsidRDefault="004B385D" w:rsidP="004B385D">
      <w:pPr>
        <w:spacing w:after="0" w:line="276" w:lineRule="auto"/>
        <w:ind w:right="-225"/>
        <w:rPr>
          <w:rFonts w:asciiTheme="majorBidi" w:eastAsia="Times New Roman" w:hAnsiTheme="majorBidi" w:cstheme="majorBidi"/>
          <w:color w:val="492F24"/>
          <w:sz w:val="24"/>
          <w:szCs w:val="24"/>
          <w:lang w:val="en"/>
        </w:rPr>
      </w:pPr>
      <w:r w:rsidRPr="00B91780">
        <w:rPr>
          <w:rFonts w:asciiTheme="majorBidi" w:eastAsia="Times New Roman" w:hAnsiTheme="majorBidi" w:cstheme="majorBidi"/>
          <w:color w:val="492F24"/>
          <w:sz w:val="24"/>
          <w:szCs w:val="24"/>
          <w:lang w:val="en"/>
        </w:rPr>
        <w:t>4. Students should acquire the tools to become fully independent chemical researchers. They should be able to synthesize advanced material from the different areas of chemistry and formulate and carry out a research project that can lead to publication(s) in a refereed journal.</w:t>
      </w:r>
    </w:p>
    <w:p w:rsidR="003B1742" w:rsidRDefault="003B1742" w:rsidP="004B385D">
      <w:pPr>
        <w:spacing w:after="0" w:line="276" w:lineRule="auto"/>
        <w:ind w:right="-225"/>
        <w:rPr>
          <w:rFonts w:asciiTheme="majorBidi" w:eastAsia="Times New Roman" w:hAnsiTheme="majorBidi" w:cstheme="majorBidi"/>
          <w:color w:val="492F24"/>
          <w:sz w:val="24"/>
          <w:szCs w:val="24"/>
          <w:lang w:val="en"/>
        </w:rPr>
      </w:pPr>
    </w:p>
    <w:p w:rsidR="004B385D" w:rsidRPr="00B91780" w:rsidRDefault="004B385D" w:rsidP="004B385D">
      <w:pPr>
        <w:pStyle w:val="ListParagraph"/>
        <w:numPr>
          <w:ilvl w:val="0"/>
          <w:numId w:val="4"/>
        </w:numPr>
        <w:spacing w:after="0" w:line="276" w:lineRule="auto"/>
        <w:ind w:right="-225"/>
        <w:outlineLvl w:val="3"/>
        <w:rPr>
          <w:rFonts w:asciiTheme="majorBidi" w:eastAsia="Times New Roman" w:hAnsiTheme="majorBidi" w:cstheme="majorBidi"/>
          <w:b/>
          <w:bCs/>
          <w:sz w:val="24"/>
          <w:szCs w:val="24"/>
          <w:u w:val="single"/>
          <w:lang w:val="en"/>
        </w:rPr>
      </w:pPr>
      <w:r w:rsidRPr="00B91780">
        <w:rPr>
          <w:rFonts w:asciiTheme="majorBidi" w:eastAsia="Times New Roman" w:hAnsiTheme="majorBidi" w:cstheme="majorBidi"/>
          <w:b/>
          <w:bCs/>
          <w:sz w:val="24"/>
          <w:szCs w:val="24"/>
          <w:u w:val="single"/>
          <w:lang w:val="en"/>
        </w:rPr>
        <w:t>Program Enhancement</w:t>
      </w:r>
    </w:p>
    <w:p w:rsidR="004B385D" w:rsidRPr="00B91780" w:rsidRDefault="004B385D" w:rsidP="004B385D">
      <w:pPr>
        <w:spacing w:after="0" w:line="276" w:lineRule="auto"/>
        <w:ind w:right="-225"/>
        <w:rPr>
          <w:rFonts w:asciiTheme="majorBidi" w:eastAsia="Times New Roman" w:hAnsiTheme="majorBidi" w:cstheme="majorBidi"/>
          <w:color w:val="492F24"/>
          <w:sz w:val="24"/>
          <w:szCs w:val="24"/>
          <w:lang w:val="en"/>
        </w:rPr>
      </w:pPr>
      <w:r w:rsidRPr="00B91780">
        <w:rPr>
          <w:rFonts w:asciiTheme="majorBidi" w:eastAsia="Times New Roman" w:hAnsiTheme="majorBidi" w:cstheme="majorBidi"/>
          <w:color w:val="492F24"/>
          <w:sz w:val="24"/>
          <w:szCs w:val="24"/>
          <w:lang w:val="en"/>
        </w:rPr>
        <w:t>To maintain and improve both the undergraduate and graduate programs, the department aims to: </w:t>
      </w:r>
    </w:p>
    <w:p w:rsidR="004B385D" w:rsidRPr="00B91780" w:rsidRDefault="004B385D" w:rsidP="004B385D">
      <w:pPr>
        <w:spacing w:after="0" w:line="276" w:lineRule="auto"/>
        <w:ind w:right="-225"/>
        <w:rPr>
          <w:rFonts w:asciiTheme="majorBidi" w:eastAsia="Times New Roman" w:hAnsiTheme="majorBidi" w:cstheme="majorBidi"/>
          <w:color w:val="492F24"/>
          <w:sz w:val="24"/>
          <w:szCs w:val="24"/>
          <w:lang w:val="en"/>
        </w:rPr>
      </w:pPr>
      <w:r w:rsidRPr="00B91780">
        <w:rPr>
          <w:rFonts w:asciiTheme="majorBidi" w:eastAsia="Times New Roman" w:hAnsiTheme="majorBidi" w:cstheme="majorBidi"/>
          <w:color w:val="492F24"/>
          <w:sz w:val="24"/>
          <w:szCs w:val="24"/>
          <w:lang w:val="en"/>
        </w:rPr>
        <w:t>1. Continue to be competitive by attracting high quality students;</w:t>
      </w:r>
    </w:p>
    <w:p w:rsidR="004B385D" w:rsidRPr="00B91780" w:rsidRDefault="004B385D" w:rsidP="004B385D">
      <w:pPr>
        <w:spacing w:after="0" w:line="276" w:lineRule="auto"/>
        <w:ind w:right="-225"/>
        <w:rPr>
          <w:rFonts w:asciiTheme="majorBidi" w:eastAsia="Times New Roman" w:hAnsiTheme="majorBidi" w:cstheme="majorBidi"/>
          <w:color w:val="492F24"/>
          <w:sz w:val="24"/>
          <w:szCs w:val="24"/>
          <w:lang w:val="en"/>
        </w:rPr>
      </w:pPr>
      <w:r w:rsidRPr="00B91780">
        <w:rPr>
          <w:rFonts w:asciiTheme="majorBidi" w:eastAsia="Times New Roman" w:hAnsiTheme="majorBidi" w:cstheme="majorBidi"/>
          <w:color w:val="492F24"/>
          <w:sz w:val="24"/>
          <w:szCs w:val="24"/>
          <w:lang w:val="en"/>
        </w:rPr>
        <w:t>2. Provide effective mentoring that encourages students to graduate in a timely manner;</w:t>
      </w:r>
    </w:p>
    <w:p w:rsidR="004B385D" w:rsidRPr="00B91780" w:rsidRDefault="004B385D" w:rsidP="004B385D">
      <w:pPr>
        <w:spacing w:after="0" w:line="276" w:lineRule="auto"/>
        <w:ind w:right="-225"/>
        <w:rPr>
          <w:rFonts w:asciiTheme="majorBidi" w:eastAsia="Times New Roman" w:hAnsiTheme="majorBidi" w:cstheme="majorBidi"/>
          <w:color w:val="492F24"/>
          <w:sz w:val="24"/>
          <w:szCs w:val="24"/>
          <w:lang w:val="en"/>
        </w:rPr>
      </w:pPr>
      <w:r w:rsidRPr="00B91780">
        <w:rPr>
          <w:rFonts w:asciiTheme="majorBidi" w:eastAsia="Times New Roman" w:hAnsiTheme="majorBidi" w:cstheme="majorBidi"/>
          <w:color w:val="492F24"/>
          <w:sz w:val="24"/>
          <w:szCs w:val="24"/>
          <w:lang w:val="en"/>
        </w:rPr>
        <w:t>3. Place graduates in positions in industry and academics</w:t>
      </w:r>
    </w:p>
    <w:p w:rsidR="004B385D" w:rsidRPr="00B91780" w:rsidRDefault="004B385D" w:rsidP="004B385D">
      <w:pPr>
        <w:autoSpaceDE w:val="0"/>
        <w:autoSpaceDN w:val="0"/>
        <w:adjustRightInd w:val="0"/>
        <w:spacing w:after="0" w:line="276" w:lineRule="auto"/>
        <w:ind w:right="-225"/>
        <w:jc w:val="both"/>
        <w:rPr>
          <w:rFonts w:asciiTheme="majorBidi" w:eastAsia="Times New Roman" w:hAnsiTheme="majorBidi" w:cstheme="majorBidi"/>
          <w:color w:val="492F24"/>
          <w:sz w:val="24"/>
          <w:szCs w:val="24"/>
          <w:lang w:val="en"/>
        </w:rPr>
      </w:pPr>
      <w:r w:rsidRPr="00B91780">
        <w:rPr>
          <w:rFonts w:asciiTheme="majorBidi" w:eastAsia="Times New Roman" w:hAnsiTheme="majorBidi" w:cstheme="majorBidi"/>
          <w:color w:val="492F24"/>
          <w:sz w:val="24"/>
          <w:szCs w:val="24"/>
          <w:lang w:val="en"/>
        </w:rPr>
        <w:t>4. Maintain a nationally recognized faculty that is large enough and appropriately distributed across chemistry disciplines to offer students a wide range of fields and expertise.</w:t>
      </w:r>
    </w:p>
    <w:p w:rsidR="004B385D" w:rsidRDefault="004B385D" w:rsidP="004B385D">
      <w:pPr>
        <w:autoSpaceDE w:val="0"/>
        <w:autoSpaceDN w:val="0"/>
        <w:adjustRightInd w:val="0"/>
        <w:spacing w:after="0" w:line="276" w:lineRule="auto"/>
        <w:ind w:right="-225"/>
        <w:jc w:val="both"/>
        <w:rPr>
          <w:rFonts w:asciiTheme="majorBidi" w:eastAsia="Times New Roman" w:hAnsiTheme="majorBidi" w:cstheme="majorBidi"/>
          <w:color w:val="492F24"/>
          <w:sz w:val="24"/>
          <w:szCs w:val="24"/>
          <w:lang w:val="en"/>
        </w:rPr>
      </w:pPr>
    </w:p>
    <w:p w:rsidR="00F311BC" w:rsidRDefault="00F311BC" w:rsidP="004B385D">
      <w:pPr>
        <w:autoSpaceDE w:val="0"/>
        <w:autoSpaceDN w:val="0"/>
        <w:adjustRightInd w:val="0"/>
        <w:spacing w:after="0" w:line="276" w:lineRule="auto"/>
        <w:ind w:right="-225"/>
        <w:jc w:val="both"/>
        <w:rPr>
          <w:rFonts w:asciiTheme="majorBidi" w:eastAsia="Times New Roman" w:hAnsiTheme="majorBidi" w:cstheme="majorBidi"/>
          <w:color w:val="492F24"/>
          <w:sz w:val="24"/>
          <w:szCs w:val="24"/>
          <w:lang w:val="en"/>
        </w:rPr>
      </w:pPr>
    </w:p>
    <w:p w:rsidR="00F311BC" w:rsidRDefault="00F311BC" w:rsidP="004B385D">
      <w:pPr>
        <w:autoSpaceDE w:val="0"/>
        <w:autoSpaceDN w:val="0"/>
        <w:adjustRightInd w:val="0"/>
        <w:spacing w:after="0" w:line="276" w:lineRule="auto"/>
        <w:ind w:right="-225"/>
        <w:jc w:val="both"/>
        <w:rPr>
          <w:rFonts w:asciiTheme="majorBidi" w:eastAsia="Times New Roman" w:hAnsiTheme="majorBidi" w:cstheme="majorBidi"/>
          <w:color w:val="492F24"/>
          <w:sz w:val="24"/>
          <w:szCs w:val="24"/>
          <w:lang w:val="en"/>
        </w:rPr>
      </w:pPr>
    </w:p>
    <w:p w:rsidR="003B1742" w:rsidRDefault="003B1742" w:rsidP="004B385D">
      <w:pPr>
        <w:autoSpaceDE w:val="0"/>
        <w:autoSpaceDN w:val="0"/>
        <w:adjustRightInd w:val="0"/>
        <w:spacing w:after="0" w:line="276" w:lineRule="auto"/>
        <w:ind w:right="-225"/>
        <w:jc w:val="both"/>
        <w:rPr>
          <w:rFonts w:asciiTheme="majorBidi" w:eastAsia="Times New Roman" w:hAnsiTheme="majorBidi" w:cstheme="majorBidi"/>
          <w:color w:val="492F24"/>
          <w:sz w:val="24"/>
          <w:szCs w:val="24"/>
          <w:lang w:val="en"/>
        </w:rPr>
      </w:pPr>
    </w:p>
    <w:p w:rsidR="003B1742" w:rsidRDefault="003B1742" w:rsidP="004B385D">
      <w:pPr>
        <w:autoSpaceDE w:val="0"/>
        <w:autoSpaceDN w:val="0"/>
        <w:adjustRightInd w:val="0"/>
        <w:spacing w:after="0" w:line="276" w:lineRule="auto"/>
        <w:ind w:right="-225"/>
        <w:jc w:val="both"/>
        <w:rPr>
          <w:rFonts w:asciiTheme="majorBidi" w:eastAsia="Times New Roman" w:hAnsiTheme="majorBidi" w:cstheme="majorBidi"/>
          <w:color w:val="492F24"/>
          <w:sz w:val="24"/>
          <w:szCs w:val="24"/>
          <w:lang w:val="en"/>
        </w:rPr>
      </w:pPr>
    </w:p>
    <w:p w:rsidR="003B1742" w:rsidRDefault="003B1742" w:rsidP="004B385D">
      <w:pPr>
        <w:autoSpaceDE w:val="0"/>
        <w:autoSpaceDN w:val="0"/>
        <w:adjustRightInd w:val="0"/>
        <w:spacing w:after="0" w:line="276" w:lineRule="auto"/>
        <w:ind w:right="-225"/>
        <w:jc w:val="both"/>
        <w:rPr>
          <w:rFonts w:asciiTheme="majorBidi" w:eastAsia="Times New Roman" w:hAnsiTheme="majorBidi" w:cstheme="majorBidi"/>
          <w:color w:val="492F24"/>
          <w:sz w:val="24"/>
          <w:szCs w:val="24"/>
          <w:lang w:val="en"/>
        </w:rPr>
      </w:pPr>
    </w:p>
    <w:p w:rsidR="003B1742" w:rsidRDefault="003B1742" w:rsidP="004B385D">
      <w:pPr>
        <w:autoSpaceDE w:val="0"/>
        <w:autoSpaceDN w:val="0"/>
        <w:adjustRightInd w:val="0"/>
        <w:spacing w:after="0" w:line="276" w:lineRule="auto"/>
        <w:ind w:right="-225"/>
        <w:jc w:val="both"/>
        <w:rPr>
          <w:rFonts w:asciiTheme="majorBidi" w:eastAsia="Times New Roman" w:hAnsiTheme="majorBidi" w:cstheme="majorBidi"/>
          <w:color w:val="492F24"/>
          <w:sz w:val="24"/>
          <w:szCs w:val="24"/>
          <w:lang w:val="en"/>
        </w:rPr>
      </w:pPr>
    </w:p>
    <w:p w:rsidR="003B1742" w:rsidRPr="00B91780" w:rsidRDefault="003B1742" w:rsidP="004B385D">
      <w:pPr>
        <w:autoSpaceDE w:val="0"/>
        <w:autoSpaceDN w:val="0"/>
        <w:adjustRightInd w:val="0"/>
        <w:spacing w:after="0" w:line="276" w:lineRule="auto"/>
        <w:ind w:right="-225"/>
        <w:jc w:val="both"/>
        <w:rPr>
          <w:rFonts w:asciiTheme="majorBidi" w:eastAsia="Times New Roman" w:hAnsiTheme="majorBidi" w:cstheme="majorBidi"/>
          <w:color w:val="492F24"/>
          <w:sz w:val="24"/>
          <w:szCs w:val="24"/>
          <w:lang w:val="en"/>
        </w:rPr>
      </w:pPr>
    </w:p>
    <w:p w:rsidR="004B385D" w:rsidRPr="002B2DB7" w:rsidRDefault="004B385D" w:rsidP="004B385D">
      <w:pPr>
        <w:autoSpaceDE w:val="0"/>
        <w:autoSpaceDN w:val="0"/>
        <w:adjustRightInd w:val="0"/>
        <w:spacing w:after="0" w:line="276" w:lineRule="auto"/>
        <w:ind w:right="-225"/>
        <w:jc w:val="center"/>
        <w:rPr>
          <w:rFonts w:asciiTheme="majorBidi" w:eastAsia="Times New Roman" w:hAnsiTheme="majorBidi" w:cstheme="majorBidi"/>
          <w:b/>
          <w:bCs/>
          <w:sz w:val="28"/>
          <w:szCs w:val="28"/>
          <w:u w:val="single"/>
          <w:lang w:val="en"/>
        </w:rPr>
      </w:pPr>
      <w:r w:rsidRPr="002B2DB7">
        <w:rPr>
          <w:rFonts w:asciiTheme="majorBidi" w:eastAsia="Times New Roman" w:hAnsiTheme="majorBidi" w:cstheme="majorBidi"/>
          <w:b/>
          <w:bCs/>
          <w:sz w:val="28"/>
          <w:szCs w:val="28"/>
          <w:u w:val="single"/>
          <w:lang w:val="en"/>
        </w:rPr>
        <w:lastRenderedPageBreak/>
        <w:t>The outlines of Ph. D. course in organic chemistry</w:t>
      </w:r>
    </w:p>
    <w:p w:rsidR="004B385D" w:rsidRPr="00B91780" w:rsidRDefault="004B385D" w:rsidP="004B385D">
      <w:pPr>
        <w:autoSpaceDE w:val="0"/>
        <w:autoSpaceDN w:val="0"/>
        <w:adjustRightInd w:val="0"/>
        <w:spacing w:after="0" w:line="276" w:lineRule="auto"/>
        <w:ind w:right="-225"/>
        <w:jc w:val="center"/>
        <w:rPr>
          <w:rFonts w:asciiTheme="majorBidi" w:eastAsia="Times New Roman" w:hAnsiTheme="majorBidi" w:cstheme="majorBidi"/>
          <w:b/>
          <w:bCs/>
          <w:sz w:val="24"/>
          <w:szCs w:val="24"/>
          <w:u w:val="single"/>
          <w:lang w:val="en"/>
        </w:rPr>
      </w:pPr>
    </w:p>
    <w:p w:rsidR="004B385D" w:rsidRPr="00B91780" w:rsidRDefault="004B385D" w:rsidP="004B385D">
      <w:pPr>
        <w:autoSpaceDE w:val="0"/>
        <w:autoSpaceDN w:val="0"/>
        <w:adjustRightInd w:val="0"/>
        <w:spacing w:after="0" w:line="276" w:lineRule="auto"/>
        <w:jc w:val="both"/>
        <w:rPr>
          <w:rFonts w:asciiTheme="majorBidi" w:hAnsiTheme="majorBidi" w:cstheme="majorBidi"/>
          <w:b/>
          <w:bCs/>
          <w:sz w:val="28"/>
          <w:szCs w:val="28"/>
        </w:rPr>
      </w:pPr>
      <w:r w:rsidRPr="00B91780">
        <w:rPr>
          <w:rFonts w:asciiTheme="majorBidi" w:hAnsiTheme="majorBidi" w:cstheme="majorBidi"/>
          <w:b/>
          <w:bCs/>
          <w:sz w:val="28"/>
          <w:szCs w:val="28"/>
        </w:rPr>
        <w:t>- Nucleophilic Substitution</w:t>
      </w:r>
    </w:p>
    <w:p w:rsidR="004B385D" w:rsidRPr="00B91780" w:rsidRDefault="004B385D" w:rsidP="004B385D">
      <w:pPr>
        <w:autoSpaceDE w:val="0"/>
        <w:autoSpaceDN w:val="0"/>
        <w:adjustRightInd w:val="0"/>
        <w:spacing w:after="0" w:line="276" w:lineRule="auto"/>
        <w:ind w:right="-225"/>
        <w:jc w:val="both"/>
        <w:rPr>
          <w:rFonts w:asciiTheme="majorBidi" w:eastAsia="Times New Roman" w:hAnsiTheme="majorBidi" w:cstheme="majorBidi"/>
          <w:color w:val="492F24"/>
          <w:sz w:val="24"/>
          <w:szCs w:val="24"/>
          <w:lang w:val="en"/>
        </w:rPr>
      </w:pPr>
      <w:r w:rsidRPr="00B91780">
        <w:rPr>
          <w:rFonts w:asciiTheme="majorBidi" w:hAnsiTheme="majorBidi" w:cstheme="majorBidi"/>
          <w:sz w:val="24"/>
          <w:szCs w:val="24"/>
        </w:rPr>
        <w:t>Nucleophilic substitution at tetravalent (sp</w:t>
      </w:r>
      <w:r w:rsidRPr="00B91780">
        <w:rPr>
          <w:rFonts w:asciiTheme="majorBidi" w:hAnsiTheme="majorBidi" w:cstheme="majorBidi"/>
          <w:sz w:val="24"/>
          <w:szCs w:val="24"/>
          <w:vertAlign w:val="superscript"/>
        </w:rPr>
        <w:t>3</w:t>
      </w:r>
      <w:r w:rsidRPr="00B91780">
        <w:rPr>
          <w:rFonts w:asciiTheme="majorBidi" w:hAnsiTheme="majorBidi" w:cstheme="majorBidi"/>
          <w:sz w:val="24"/>
          <w:szCs w:val="24"/>
        </w:rPr>
        <w:t>) carbon is a fundamental reaction of broad synthetic utility and has been the subject of detailed mechanistic study.</w:t>
      </w:r>
    </w:p>
    <w:p w:rsidR="004B385D" w:rsidRPr="00B91780" w:rsidRDefault="004B385D" w:rsidP="004B385D">
      <w:pPr>
        <w:autoSpaceDE w:val="0"/>
        <w:autoSpaceDN w:val="0"/>
        <w:adjustRightInd w:val="0"/>
        <w:spacing w:after="0" w:line="276" w:lineRule="auto"/>
        <w:jc w:val="both"/>
        <w:rPr>
          <w:rFonts w:asciiTheme="majorBidi" w:hAnsiTheme="majorBidi" w:cstheme="majorBidi"/>
          <w:b/>
          <w:bCs/>
          <w:sz w:val="28"/>
          <w:szCs w:val="28"/>
        </w:rPr>
      </w:pPr>
      <w:r w:rsidRPr="00B91780">
        <w:rPr>
          <w:rFonts w:asciiTheme="majorBidi" w:hAnsiTheme="majorBidi" w:cstheme="majorBidi"/>
          <w:b/>
          <w:bCs/>
          <w:sz w:val="28"/>
          <w:szCs w:val="28"/>
        </w:rPr>
        <w:t>- Polar Addition and Elimination Reactions</w:t>
      </w:r>
    </w:p>
    <w:p w:rsidR="004B385D" w:rsidRDefault="004B385D" w:rsidP="004B385D">
      <w:pPr>
        <w:autoSpaceDE w:val="0"/>
        <w:autoSpaceDN w:val="0"/>
        <w:adjustRightInd w:val="0"/>
        <w:spacing w:after="0" w:line="276" w:lineRule="auto"/>
        <w:jc w:val="both"/>
        <w:rPr>
          <w:rFonts w:asciiTheme="majorBidi" w:hAnsiTheme="majorBidi" w:cstheme="majorBidi"/>
          <w:sz w:val="24"/>
          <w:szCs w:val="24"/>
        </w:rPr>
      </w:pPr>
      <w:r w:rsidRPr="00B91780">
        <w:rPr>
          <w:rFonts w:asciiTheme="majorBidi" w:hAnsiTheme="majorBidi" w:cstheme="majorBidi"/>
          <w:sz w:val="24"/>
          <w:szCs w:val="24"/>
        </w:rPr>
        <w:t xml:space="preserve">Addition and elimination processes are the formal reverse of one another, and in some cases the reaction can occur in either direction. </w:t>
      </w:r>
    </w:p>
    <w:p w:rsidR="004B385D" w:rsidRPr="00B91780" w:rsidRDefault="004B385D" w:rsidP="004B385D">
      <w:pPr>
        <w:autoSpaceDE w:val="0"/>
        <w:autoSpaceDN w:val="0"/>
        <w:adjustRightInd w:val="0"/>
        <w:spacing w:after="0" w:line="276" w:lineRule="auto"/>
        <w:jc w:val="both"/>
        <w:rPr>
          <w:rFonts w:asciiTheme="majorBidi" w:hAnsiTheme="majorBidi" w:cstheme="majorBidi"/>
          <w:b/>
          <w:bCs/>
          <w:sz w:val="28"/>
          <w:szCs w:val="28"/>
        </w:rPr>
      </w:pPr>
      <w:r w:rsidRPr="00B91780">
        <w:rPr>
          <w:rFonts w:asciiTheme="majorBidi" w:hAnsiTheme="majorBidi" w:cstheme="majorBidi"/>
          <w:b/>
          <w:bCs/>
          <w:sz w:val="28"/>
          <w:szCs w:val="28"/>
        </w:rPr>
        <w:t>- Carbanion Character of Organometallic Compounds</w:t>
      </w:r>
    </w:p>
    <w:p w:rsidR="004B385D" w:rsidRPr="00B91780" w:rsidRDefault="004B385D" w:rsidP="004B385D">
      <w:pPr>
        <w:autoSpaceDE w:val="0"/>
        <w:autoSpaceDN w:val="0"/>
        <w:adjustRightInd w:val="0"/>
        <w:spacing w:after="0" w:line="276" w:lineRule="auto"/>
        <w:jc w:val="both"/>
        <w:rPr>
          <w:rFonts w:asciiTheme="majorBidi" w:hAnsiTheme="majorBidi" w:cstheme="majorBidi"/>
          <w:sz w:val="24"/>
          <w:szCs w:val="24"/>
        </w:rPr>
      </w:pPr>
      <w:r w:rsidRPr="00B91780">
        <w:rPr>
          <w:rFonts w:asciiTheme="majorBidi" w:hAnsiTheme="majorBidi" w:cstheme="majorBidi"/>
          <w:sz w:val="24"/>
          <w:szCs w:val="24"/>
        </w:rPr>
        <w:t>The organometallic derivatives of lithium, magnesium, and other strongly electropositive metals have some of the properties expected for salts of carbanions.</w:t>
      </w:r>
    </w:p>
    <w:p w:rsidR="004B385D" w:rsidRPr="00B91780" w:rsidRDefault="004B385D" w:rsidP="004B385D">
      <w:pPr>
        <w:autoSpaceDE w:val="0"/>
        <w:autoSpaceDN w:val="0"/>
        <w:adjustRightInd w:val="0"/>
        <w:spacing w:after="0" w:line="276" w:lineRule="auto"/>
        <w:jc w:val="both"/>
        <w:rPr>
          <w:rFonts w:asciiTheme="majorBidi" w:hAnsiTheme="majorBidi" w:cstheme="majorBidi"/>
          <w:b/>
          <w:bCs/>
          <w:sz w:val="28"/>
          <w:szCs w:val="28"/>
        </w:rPr>
      </w:pPr>
      <w:r w:rsidRPr="00B91780">
        <w:rPr>
          <w:rFonts w:asciiTheme="majorBidi" w:hAnsiTheme="majorBidi" w:cstheme="majorBidi"/>
          <w:b/>
          <w:bCs/>
          <w:sz w:val="28"/>
          <w:szCs w:val="28"/>
        </w:rPr>
        <w:t>- Addition, Condensation and Substitution Reactions of Carbonyl Compounds</w:t>
      </w:r>
    </w:p>
    <w:p w:rsidR="004B385D" w:rsidRPr="00B91780" w:rsidRDefault="004B385D" w:rsidP="004B385D">
      <w:pPr>
        <w:autoSpaceDE w:val="0"/>
        <w:autoSpaceDN w:val="0"/>
        <w:adjustRightInd w:val="0"/>
        <w:spacing w:after="0" w:line="276" w:lineRule="auto"/>
        <w:jc w:val="both"/>
        <w:rPr>
          <w:rFonts w:asciiTheme="majorBidi" w:hAnsiTheme="majorBidi" w:cstheme="majorBidi"/>
          <w:sz w:val="24"/>
          <w:szCs w:val="24"/>
        </w:rPr>
      </w:pPr>
      <w:r w:rsidRPr="00B91780">
        <w:rPr>
          <w:rFonts w:asciiTheme="majorBidi" w:hAnsiTheme="majorBidi" w:cstheme="majorBidi"/>
          <w:sz w:val="24"/>
          <w:szCs w:val="24"/>
        </w:rPr>
        <w:t xml:space="preserve">In broad terms, there are three possible mechanisms for addition of a nucleophile and a proton to give a tetrahedral intermediate in a carbonyl addition reaction. </w:t>
      </w:r>
    </w:p>
    <w:p w:rsidR="004B385D" w:rsidRPr="00B91780" w:rsidRDefault="004B385D" w:rsidP="004B385D">
      <w:pPr>
        <w:autoSpaceDE w:val="0"/>
        <w:autoSpaceDN w:val="0"/>
        <w:adjustRightInd w:val="0"/>
        <w:spacing w:after="0" w:line="276" w:lineRule="auto"/>
        <w:jc w:val="both"/>
        <w:rPr>
          <w:rFonts w:asciiTheme="majorBidi" w:hAnsiTheme="majorBidi" w:cstheme="majorBidi"/>
          <w:b/>
          <w:bCs/>
          <w:sz w:val="28"/>
          <w:szCs w:val="28"/>
        </w:rPr>
      </w:pPr>
      <w:r w:rsidRPr="00B91780">
        <w:rPr>
          <w:rFonts w:asciiTheme="majorBidi" w:hAnsiTheme="majorBidi" w:cstheme="majorBidi"/>
          <w:b/>
          <w:bCs/>
          <w:sz w:val="28"/>
          <w:szCs w:val="28"/>
        </w:rPr>
        <w:t>- Electrophilic Aromatic Substitution Reactions</w:t>
      </w:r>
    </w:p>
    <w:p w:rsidR="004B385D" w:rsidRPr="00B91780" w:rsidRDefault="004B385D" w:rsidP="004B385D">
      <w:pPr>
        <w:autoSpaceDE w:val="0"/>
        <w:autoSpaceDN w:val="0"/>
        <w:adjustRightInd w:val="0"/>
        <w:spacing w:after="0" w:line="276" w:lineRule="auto"/>
        <w:jc w:val="both"/>
        <w:rPr>
          <w:rFonts w:asciiTheme="majorBidi" w:hAnsiTheme="majorBidi" w:cstheme="majorBidi"/>
          <w:sz w:val="24"/>
          <w:szCs w:val="24"/>
        </w:rPr>
      </w:pPr>
      <w:r w:rsidRPr="00B91780">
        <w:rPr>
          <w:rFonts w:asciiTheme="majorBidi" w:hAnsiTheme="majorBidi" w:cstheme="majorBidi"/>
          <w:sz w:val="24"/>
          <w:szCs w:val="24"/>
        </w:rPr>
        <w:t xml:space="preserve">Electrophilic aromatic substitution (abbreviated EAS in this chapter) reactions are important for synthetic purposes and are also among the most thoroughly studied classes of organic reactions from a mechanistic point of view. </w:t>
      </w:r>
    </w:p>
    <w:p w:rsidR="004B385D" w:rsidRPr="00B91780" w:rsidRDefault="004B385D" w:rsidP="004B385D">
      <w:pPr>
        <w:autoSpaceDE w:val="0"/>
        <w:autoSpaceDN w:val="0"/>
        <w:adjustRightInd w:val="0"/>
        <w:spacing w:after="0" w:line="276"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Pr="00B91780">
        <w:rPr>
          <w:rFonts w:asciiTheme="majorBidi" w:hAnsiTheme="majorBidi" w:cstheme="majorBidi"/>
          <w:b/>
          <w:bCs/>
          <w:sz w:val="28"/>
          <w:szCs w:val="28"/>
        </w:rPr>
        <w:t>Nucleophilic Aromatic Substitution by the Addition-Elimination Mechanism</w:t>
      </w:r>
    </w:p>
    <w:p w:rsidR="004B385D" w:rsidRPr="00B91780" w:rsidRDefault="004B385D" w:rsidP="004B385D">
      <w:pPr>
        <w:autoSpaceDE w:val="0"/>
        <w:autoSpaceDN w:val="0"/>
        <w:adjustRightInd w:val="0"/>
        <w:spacing w:after="0" w:line="276" w:lineRule="auto"/>
        <w:jc w:val="both"/>
        <w:rPr>
          <w:rFonts w:asciiTheme="majorBidi" w:hAnsiTheme="majorBidi" w:cstheme="majorBidi"/>
          <w:sz w:val="24"/>
          <w:szCs w:val="24"/>
        </w:rPr>
      </w:pPr>
      <w:r w:rsidRPr="00B91780">
        <w:rPr>
          <w:rFonts w:asciiTheme="majorBidi" w:hAnsiTheme="majorBidi" w:cstheme="majorBidi"/>
          <w:sz w:val="24"/>
          <w:szCs w:val="24"/>
        </w:rPr>
        <w:t xml:space="preserve">The addition-elimination mechanism uses one of the vacant </w:t>
      </w:r>
      <w:r w:rsidRPr="00B91780">
        <w:rPr>
          <w:rFonts w:asciiTheme="majorBidi" w:hAnsiTheme="majorBidi" w:cstheme="majorBidi"/>
          <w:sz w:val="24"/>
          <w:szCs w:val="24"/>
        </w:rPr>
        <w:sym w:font="Symbol" w:char="F070"/>
      </w:r>
      <w:r w:rsidRPr="00B91780">
        <w:rPr>
          <w:rFonts w:ascii="Cambria Math" w:hAnsi="Cambria Math" w:cs="Cambria Math"/>
          <w:sz w:val="24"/>
          <w:szCs w:val="24"/>
          <w:vertAlign w:val="superscript"/>
        </w:rPr>
        <w:t>∗</w:t>
      </w:r>
      <w:r w:rsidRPr="00B91780">
        <w:rPr>
          <w:rFonts w:asciiTheme="majorBidi" w:hAnsiTheme="majorBidi" w:cstheme="majorBidi"/>
          <w:sz w:val="24"/>
          <w:szCs w:val="24"/>
        </w:rPr>
        <w:t xml:space="preserve"> orbitals for bonding interaction with the nucleophile. This permits addition of the nucleophile to the aromatic ring without displacing any of the existing substituents. </w:t>
      </w:r>
    </w:p>
    <w:p w:rsidR="004B385D" w:rsidRPr="00B91780" w:rsidRDefault="004B385D" w:rsidP="004B385D">
      <w:pPr>
        <w:autoSpaceDE w:val="0"/>
        <w:autoSpaceDN w:val="0"/>
        <w:adjustRightInd w:val="0"/>
        <w:spacing w:after="0" w:line="276"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Pr="00B91780">
        <w:rPr>
          <w:rFonts w:asciiTheme="majorBidi" w:hAnsiTheme="majorBidi" w:cstheme="majorBidi"/>
          <w:b/>
          <w:bCs/>
          <w:sz w:val="28"/>
          <w:szCs w:val="28"/>
        </w:rPr>
        <w:t>Concerted Pericyclic Reactions</w:t>
      </w:r>
    </w:p>
    <w:p w:rsidR="004B385D" w:rsidRPr="00B91780" w:rsidRDefault="004B385D" w:rsidP="004B385D">
      <w:pPr>
        <w:autoSpaceDE w:val="0"/>
        <w:autoSpaceDN w:val="0"/>
        <w:adjustRightInd w:val="0"/>
        <w:spacing w:after="0" w:line="276" w:lineRule="auto"/>
        <w:jc w:val="both"/>
        <w:rPr>
          <w:rFonts w:asciiTheme="majorBidi" w:hAnsiTheme="majorBidi" w:cstheme="majorBidi"/>
          <w:sz w:val="24"/>
          <w:szCs w:val="24"/>
        </w:rPr>
      </w:pPr>
      <w:r w:rsidRPr="00B91780">
        <w:rPr>
          <w:rFonts w:asciiTheme="majorBidi" w:hAnsiTheme="majorBidi" w:cstheme="majorBidi"/>
          <w:i/>
          <w:iCs/>
          <w:sz w:val="24"/>
          <w:szCs w:val="24"/>
        </w:rPr>
        <w:t xml:space="preserve">Concerted reactions </w:t>
      </w:r>
      <w:r w:rsidRPr="00B91780">
        <w:rPr>
          <w:rFonts w:asciiTheme="majorBidi" w:hAnsiTheme="majorBidi" w:cstheme="majorBidi"/>
          <w:sz w:val="24"/>
          <w:szCs w:val="24"/>
        </w:rPr>
        <w:t xml:space="preserve">occur without an intermediate. The transition structure involves both bond breaking and bond formation, although not necessarily to the same degree. There are numerous examples of both unimolecular and bimolecular concerted reactions. A particularly important group consists of the </w:t>
      </w:r>
      <w:r w:rsidRPr="00B91780">
        <w:rPr>
          <w:rFonts w:asciiTheme="majorBidi" w:hAnsiTheme="majorBidi" w:cstheme="majorBidi"/>
          <w:i/>
          <w:iCs/>
          <w:sz w:val="24"/>
          <w:szCs w:val="24"/>
        </w:rPr>
        <w:t>concerted pericyclic reactions</w:t>
      </w:r>
      <w:r w:rsidRPr="00B91780">
        <w:rPr>
          <w:rFonts w:asciiTheme="majorBidi" w:hAnsiTheme="majorBidi" w:cstheme="majorBidi"/>
          <w:sz w:val="24"/>
          <w:szCs w:val="24"/>
        </w:rPr>
        <w:t xml:space="preserve">, which are characterized by a continuous reorganization of electrons through </w:t>
      </w:r>
      <w:r w:rsidRPr="00B91780">
        <w:rPr>
          <w:rFonts w:asciiTheme="majorBidi" w:hAnsiTheme="majorBidi" w:cstheme="majorBidi"/>
          <w:i/>
          <w:iCs/>
          <w:sz w:val="24"/>
          <w:szCs w:val="24"/>
        </w:rPr>
        <w:t>cyclic transition structures</w:t>
      </w:r>
      <w:r w:rsidRPr="00B91780">
        <w:rPr>
          <w:rFonts w:asciiTheme="majorBidi" w:hAnsiTheme="majorBidi" w:cstheme="majorBidi"/>
          <w:sz w:val="24"/>
          <w:szCs w:val="24"/>
        </w:rPr>
        <w:t xml:space="preserve">. Furthermore, the cyclic TS must correspond to an arrangement of the participating orbitals that can maintain a bonding interaction between the reacting atoms throughout the course of the reaction. We shall see shortly that these requirements make pericyclic reactions predictable in terms of relative reactivity, regioselectivity, and stereoselectivity. </w:t>
      </w:r>
    </w:p>
    <w:p w:rsidR="004B385D" w:rsidRPr="00B91780" w:rsidRDefault="004B385D" w:rsidP="004B385D">
      <w:pPr>
        <w:autoSpaceDE w:val="0"/>
        <w:autoSpaceDN w:val="0"/>
        <w:adjustRightInd w:val="0"/>
        <w:spacing w:after="0" w:line="276"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Pr="00B91780">
        <w:rPr>
          <w:rFonts w:asciiTheme="majorBidi" w:hAnsiTheme="majorBidi" w:cstheme="majorBidi"/>
          <w:b/>
          <w:bCs/>
          <w:sz w:val="28"/>
          <w:szCs w:val="28"/>
        </w:rPr>
        <w:t>Free Radical Reactions</w:t>
      </w:r>
    </w:p>
    <w:p w:rsidR="004B385D" w:rsidRPr="00B91780" w:rsidRDefault="004B385D" w:rsidP="004B385D">
      <w:pPr>
        <w:autoSpaceDE w:val="0"/>
        <w:autoSpaceDN w:val="0"/>
        <w:adjustRightInd w:val="0"/>
        <w:spacing w:after="0" w:line="276" w:lineRule="auto"/>
        <w:jc w:val="both"/>
        <w:rPr>
          <w:rFonts w:asciiTheme="majorBidi" w:eastAsia="Times New Roman" w:hAnsiTheme="majorBidi" w:cstheme="majorBidi"/>
          <w:color w:val="000000"/>
          <w:sz w:val="24"/>
          <w:szCs w:val="24"/>
        </w:rPr>
      </w:pPr>
      <w:r w:rsidRPr="00B91780">
        <w:rPr>
          <w:rFonts w:asciiTheme="majorBidi" w:hAnsiTheme="majorBidi" w:cstheme="majorBidi"/>
          <w:sz w:val="24"/>
          <w:szCs w:val="24"/>
        </w:rPr>
        <w:t xml:space="preserve">A free radical reaction involves molecules having unpaired electrons. The radical can be a starting compound or a product, but radicals are usually intermediates in reactions. Most of the reactions discussed to this point have been </w:t>
      </w:r>
      <w:r w:rsidRPr="00B91780">
        <w:rPr>
          <w:rFonts w:asciiTheme="majorBidi" w:hAnsiTheme="majorBidi" w:cstheme="majorBidi"/>
          <w:i/>
          <w:iCs/>
          <w:sz w:val="24"/>
          <w:szCs w:val="24"/>
        </w:rPr>
        <w:t xml:space="preserve">heterolytic processes </w:t>
      </w:r>
      <w:r w:rsidRPr="00B91780">
        <w:rPr>
          <w:rFonts w:asciiTheme="majorBidi" w:hAnsiTheme="majorBidi" w:cstheme="majorBidi"/>
          <w:sz w:val="24"/>
          <w:szCs w:val="24"/>
        </w:rPr>
        <w:t xml:space="preserve">involving polar intermediates and/or transition structures </w:t>
      </w:r>
      <w:r w:rsidRPr="00B91780">
        <w:rPr>
          <w:rFonts w:asciiTheme="majorBidi" w:hAnsiTheme="majorBidi" w:cstheme="majorBidi"/>
          <w:i/>
          <w:iCs/>
          <w:sz w:val="24"/>
          <w:szCs w:val="24"/>
        </w:rPr>
        <w:t>in which all electrons remained paired throughout the course of the reaction</w:t>
      </w:r>
      <w:r w:rsidRPr="00B91780">
        <w:rPr>
          <w:rFonts w:asciiTheme="majorBidi" w:hAnsiTheme="majorBidi" w:cstheme="majorBidi"/>
          <w:sz w:val="24"/>
          <w:szCs w:val="24"/>
        </w:rPr>
        <w:t xml:space="preserve">. In radical reactions, </w:t>
      </w:r>
      <w:r w:rsidRPr="00B91780">
        <w:rPr>
          <w:rFonts w:asciiTheme="majorBidi" w:hAnsiTheme="majorBidi" w:cstheme="majorBidi"/>
          <w:i/>
          <w:iCs/>
          <w:sz w:val="24"/>
          <w:szCs w:val="24"/>
        </w:rPr>
        <w:t xml:space="preserve">homolytic bond cleavages </w:t>
      </w:r>
      <w:r w:rsidRPr="00B91780">
        <w:rPr>
          <w:rFonts w:asciiTheme="majorBidi" w:hAnsiTheme="majorBidi" w:cstheme="majorBidi"/>
          <w:sz w:val="24"/>
          <w:szCs w:val="24"/>
        </w:rPr>
        <w:t xml:space="preserve">occur, with each fragment retaining one of the bonding electrons. </w:t>
      </w:r>
    </w:p>
    <w:p w:rsidR="004B385D" w:rsidRPr="00B91780" w:rsidRDefault="004B385D" w:rsidP="004B385D">
      <w:pPr>
        <w:autoSpaceDE w:val="0"/>
        <w:autoSpaceDN w:val="0"/>
        <w:adjustRightInd w:val="0"/>
        <w:spacing w:after="0" w:line="276" w:lineRule="auto"/>
        <w:ind w:right="-225"/>
        <w:jc w:val="both"/>
        <w:rPr>
          <w:rFonts w:asciiTheme="majorBidi" w:eastAsia="Times New Roman" w:hAnsiTheme="majorBidi" w:cstheme="majorBidi"/>
          <w:color w:val="492F24"/>
          <w:sz w:val="24"/>
          <w:szCs w:val="24"/>
          <w:lang w:val="en"/>
        </w:rPr>
      </w:pPr>
    </w:p>
    <w:p w:rsidR="004B385D" w:rsidRPr="00B72C07" w:rsidRDefault="004B385D" w:rsidP="004B385D">
      <w:pPr>
        <w:autoSpaceDE w:val="0"/>
        <w:autoSpaceDN w:val="0"/>
        <w:adjustRightInd w:val="0"/>
        <w:spacing w:after="0" w:line="276" w:lineRule="auto"/>
        <w:ind w:right="-225"/>
        <w:jc w:val="both"/>
        <w:rPr>
          <w:rFonts w:asciiTheme="majorBidi" w:eastAsia="Times New Roman" w:hAnsiTheme="majorBidi" w:cstheme="majorBidi"/>
          <w:b/>
          <w:bCs/>
          <w:sz w:val="28"/>
          <w:szCs w:val="28"/>
          <w:lang w:val="en"/>
        </w:rPr>
      </w:pPr>
      <w:r w:rsidRPr="00B72C07">
        <w:rPr>
          <w:rFonts w:asciiTheme="majorBidi" w:eastAsia="Times New Roman" w:hAnsiTheme="majorBidi" w:cstheme="majorBidi"/>
          <w:b/>
          <w:bCs/>
          <w:sz w:val="28"/>
          <w:szCs w:val="28"/>
          <w:lang w:val="en"/>
        </w:rPr>
        <w:t>- Special topics</w:t>
      </w:r>
    </w:p>
    <w:p w:rsidR="004B385D" w:rsidRPr="00B91780" w:rsidRDefault="004B385D" w:rsidP="004B385D">
      <w:p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b/>
          <w:bCs/>
          <w:color w:val="000000"/>
          <w:sz w:val="24"/>
          <w:szCs w:val="24"/>
        </w:rPr>
        <w:t>Stereochemistry</w:t>
      </w:r>
    </w:p>
    <w:p w:rsidR="004B385D" w:rsidRPr="00B91780" w:rsidRDefault="004B385D" w:rsidP="004B385D">
      <w:pPr>
        <w:numPr>
          <w:ilvl w:val="0"/>
          <w:numId w:val="1"/>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Baldwin’s Rule and Dunitz’s angle of attack</w:t>
      </w:r>
    </w:p>
    <w:p w:rsidR="004B385D" w:rsidRPr="00B91780" w:rsidRDefault="004B385D" w:rsidP="004B385D">
      <w:pPr>
        <w:numPr>
          <w:ilvl w:val="0"/>
          <w:numId w:val="1"/>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Cieplak Model</w:t>
      </w:r>
    </w:p>
    <w:p w:rsidR="004B385D" w:rsidRPr="00B91780" w:rsidRDefault="004B385D" w:rsidP="004B385D">
      <w:pPr>
        <w:numPr>
          <w:ilvl w:val="0"/>
          <w:numId w:val="1"/>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lastRenderedPageBreak/>
        <w:t>Conformation analysis of cycloalkanes</w:t>
      </w:r>
    </w:p>
    <w:p w:rsidR="004B385D" w:rsidRPr="00B91780" w:rsidRDefault="004B385D" w:rsidP="004B385D">
      <w:pPr>
        <w:numPr>
          <w:ilvl w:val="0"/>
          <w:numId w:val="1"/>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Cram’s Model</w:t>
      </w:r>
    </w:p>
    <w:p w:rsidR="004B385D" w:rsidRPr="00B91780" w:rsidRDefault="004B385D" w:rsidP="004B385D">
      <w:pPr>
        <w:numPr>
          <w:ilvl w:val="0"/>
          <w:numId w:val="1"/>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Enatiotopic and diastereotopic atoms, groups &amp; faces</w:t>
      </w:r>
    </w:p>
    <w:p w:rsidR="004B385D" w:rsidRPr="00B91780" w:rsidRDefault="004B385D" w:rsidP="004B385D">
      <w:pPr>
        <w:numPr>
          <w:ilvl w:val="0"/>
          <w:numId w:val="1"/>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Felkin-Ahn Model</w:t>
      </w:r>
    </w:p>
    <w:p w:rsidR="004B385D" w:rsidRPr="00B91780" w:rsidRDefault="004B385D" w:rsidP="004B385D">
      <w:pPr>
        <w:numPr>
          <w:ilvl w:val="0"/>
          <w:numId w:val="1"/>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Optical purity</w:t>
      </w:r>
    </w:p>
    <w:p w:rsidR="004B385D" w:rsidRDefault="004B385D" w:rsidP="004B385D">
      <w:pPr>
        <w:numPr>
          <w:ilvl w:val="0"/>
          <w:numId w:val="1"/>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Sterospecific and stereoselective synthesis</w:t>
      </w:r>
    </w:p>
    <w:p w:rsidR="004B385D" w:rsidRPr="00B91780" w:rsidRDefault="004B385D" w:rsidP="004B385D">
      <w:pPr>
        <w:shd w:val="clear" w:color="auto" w:fill="FFFFFF"/>
        <w:spacing w:after="0" w:line="276" w:lineRule="auto"/>
        <w:ind w:left="360"/>
        <w:rPr>
          <w:rFonts w:asciiTheme="majorBidi" w:eastAsia="Times New Roman" w:hAnsiTheme="majorBidi" w:cstheme="majorBidi"/>
          <w:color w:val="000000"/>
          <w:sz w:val="24"/>
          <w:szCs w:val="24"/>
        </w:rPr>
      </w:pPr>
    </w:p>
    <w:p w:rsidR="004B385D" w:rsidRPr="00B91780" w:rsidRDefault="004B385D" w:rsidP="004B385D">
      <w:p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b/>
          <w:bCs/>
          <w:color w:val="000000"/>
          <w:sz w:val="24"/>
          <w:szCs w:val="24"/>
        </w:rPr>
        <w:t>Organic Reaction Mechanisms</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Arndt-Eistert Synthesis</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Beckmann Rearrangement</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Benzil-Benzilic acid</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Carbanions</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Carbenes</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Favorskii Rearrangement</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Gattermann-Koch reaction</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Hunsdieker reaction</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Mechanism of nucleophilic substitution</w:t>
      </w:r>
      <w:r w:rsidR="009256C3">
        <w:rPr>
          <w:rFonts w:asciiTheme="majorBidi" w:eastAsia="Times New Roman" w:hAnsiTheme="majorBidi" w:cstheme="majorBidi"/>
          <w:color w:val="000000"/>
          <w:sz w:val="24"/>
          <w:szCs w:val="24"/>
        </w:rPr>
        <w:t xml:space="preserve"> (internal)</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Nitrenes</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Pinacol-Pinacolone Rearrangement</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Sandmeyer reaction</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Smiles Rearrangement</w:t>
      </w:r>
    </w:p>
    <w:p w:rsidR="004B385D" w:rsidRPr="00B91780" w:rsidRDefault="004B385D" w:rsidP="004B385D">
      <w:pPr>
        <w:numPr>
          <w:ilvl w:val="0"/>
          <w:numId w:val="2"/>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Wagner-Meerwein Rearrangement</w:t>
      </w:r>
    </w:p>
    <w:p w:rsidR="004B385D" w:rsidRDefault="004B385D" w:rsidP="004B385D">
      <w:pPr>
        <w:shd w:val="clear" w:color="auto" w:fill="FFFFFF"/>
        <w:spacing w:after="0" w:line="276" w:lineRule="auto"/>
        <w:rPr>
          <w:rFonts w:asciiTheme="majorBidi" w:eastAsia="Times New Roman" w:hAnsiTheme="majorBidi" w:cstheme="majorBidi"/>
          <w:b/>
          <w:bCs/>
          <w:color w:val="000000"/>
          <w:sz w:val="24"/>
          <w:szCs w:val="24"/>
        </w:rPr>
      </w:pPr>
    </w:p>
    <w:p w:rsidR="004B385D" w:rsidRPr="00B91780" w:rsidRDefault="004B385D" w:rsidP="004B385D">
      <w:p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b/>
          <w:bCs/>
          <w:color w:val="000000"/>
          <w:sz w:val="24"/>
          <w:szCs w:val="24"/>
        </w:rPr>
        <w:t>Oxidation and Reduction</w:t>
      </w:r>
    </w:p>
    <w:p w:rsidR="004B385D" w:rsidRPr="00B91780" w:rsidRDefault="004B385D" w:rsidP="004B385D">
      <w:pPr>
        <w:numPr>
          <w:ilvl w:val="0"/>
          <w:numId w:val="3"/>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Baeyer Villiger Oxidation</w:t>
      </w:r>
    </w:p>
    <w:p w:rsidR="004B385D" w:rsidRPr="00B91780" w:rsidRDefault="004B385D" w:rsidP="004B385D">
      <w:pPr>
        <w:numPr>
          <w:ilvl w:val="0"/>
          <w:numId w:val="3"/>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Catalytic Hydrogenation</w:t>
      </w:r>
    </w:p>
    <w:p w:rsidR="004B385D" w:rsidRPr="00B91780" w:rsidRDefault="004B385D" w:rsidP="004B385D">
      <w:pPr>
        <w:numPr>
          <w:ilvl w:val="0"/>
          <w:numId w:val="3"/>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Clemmenson’s Reduction</w:t>
      </w:r>
    </w:p>
    <w:p w:rsidR="004B385D" w:rsidRPr="00B91780" w:rsidRDefault="004B385D" w:rsidP="004B385D">
      <w:pPr>
        <w:numPr>
          <w:ilvl w:val="0"/>
          <w:numId w:val="3"/>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Metal Reductions</w:t>
      </w:r>
    </w:p>
    <w:p w:rsidR="004B385D" w:rsidRPr="00B91780" w:rsidRDefault="004B385D" w:rsidP="004B385D">
      <w:pPr>
        <w:numPr>
          <w:ilvl w:val="0"/>
          <w:numId w:val="3"/>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Meerwin Pondorf Varely Reduction</w:t>
      </w:r>
    </w:p>
    <w:p w:rsidR="004B385D" w:rsidRPr="00B91780" w:rsidRDefault="004B385D" w:rsidP="004B385D">
      <w:pPr>
        <w:numPr>
          <w:ilvl w:val="0"/>
          <w:numId w:val="3"/>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Oppenauer oxidation</w:t>
      </w:r>
    </w:p>
    <w:p w:rsidR="004B385D" w:rsidRPr="00B91780" w:rsidRDefault="004B385D" w:rsidP="004B385D">
      <w:pPr>
        <w:numPr>
          <w:ilvl w:val="0"/>
          <w:numId w:val="3"/>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Prevost Reaction</w:t>
      </w:r>
    </w:p>
    <w:p w:rsidR="004B385D" w:rsidRPr="00B91780" w:rsidRDefault="004B385D" w:rsidP="004B385D">
      <w:pPr>
        <w:numPr>
          <w:ilvl w:val="0"/>
          <w:numId w:val="3"/>
        </w:numPr>
        <w:shd w:val="clear" w:color="auto" w:fill="FFFFFF"/>
        <w:spacing w:after="0" w:line="276" w:lineRule="auto"/>
        <w:rPr>
          <w:rFonts w:asciiTheme="majorBidi" w:eastAsia="Times New Roman" w:hAnsiTheme="majorBidi" w:cstheme="majorBidi"/>
          <w:color w:val="000000"/>
          <w:sz w:val="24"/>
          <w:szCs w:val="24"/>
        </w:rPr>
      </w:pPr>
      <w:r w:rsidRPr="00B91780">
        <w:rPr>
          <w:rFonts w:asciiTheme="majorBidi" w:eastAsia="Times New Roman" w:hAnsiTheme="majorBidi" w:cstheme="majorBidi"/>
          <w:color w:val="000000"/>
          <w:sz w:val="24"/>
          <w:szCs w:val="24"/>
        </w:rPr>
        <w:t>Swern oxidation</w:t>
      </w:r>
    </w:p>
    <w:p w:rsidR="004B385D" w:rsidRPr="00B91780" w:rsidRDefault="004B385D" w:rsidP="004B385D">
      <w:pPr>
        <w:pStyle w:val="ListParagraph"/>
        <w:numPr>
          <w:ilvl w:val="0"/>
          <w:numId w:val="3"/>
        </w:numPr>
        <w:autoSpaceDE w:val="0"/>
        <w:autoSpaceDN w:val="0"/>
        <w:adjustRightInd w:val="0"/>
        <w:spacing w:after="0" w:line="276" w:lineRule="auto"/>
        <w:jc w:val="both"/>
        <w:rPr>
          <w:rFonts w:asciiTheme="majorBidi" w:hAnsiTheme="majorBidi" w:cstheme="majorBidi"/>
          <w:sz w:val="24"/>
          <w:szCs w:val="24"/>
        </w:rPr>
      </w:pPr>
      <w:r w:rsidRPr="00B91780">
        <w:rPr>
          <w:rFonts w:asciiTheme="majorBidi" w:eastAsia="Times New Roman" w:hAnsiTheme="majorBidi" w:cstheme="majorBidi"/>
          <w:color w:val="000000"/>
          <w:sz w:val="24"/>
          <w:szCs w:val="24"/>
        </w:rPr>
        <w:t xml:space="preserve">Wolf Kishner Reduction </w:t>
      </w:r>
    </w:p>
    <w:p w:rsidR="004B385D" w:rsidRDefault="004B385D" w:rsidP="004B385D">
      <w:pPr>
        <w:autoSpaceDE w:val="0"/>
        <w:autoSpaceDN w:val="0"/>
        <w:adjustRightInd w:val="0"/>
        <w:spacing w:after="0" w:line="276" w:lineRule="auto"/>
        <w:ind w:right="-225"/>
        <w:jc w:val="both"/>
        <w:rPr>
          <w:rFonts w:asciiTheme="majorBidi" w:hAnsiTheme="majorBidi" w:cstheme="majorBidi"/>
          <w:sz w:val="24"/>
          <w:szCs w:val="24"/>
        </w:rPr>
      </w:pPr>
      <w:r>
        <w:rPr>
          <w:rFonts w:asciiTheme="majorBidi" w:hAnsiTheme="majorBidi" w:cstheme="majorBidi"/>
          <w:sz w:val="24"/>
          <w:szCs w:val="24"/>
        </w:rPr>
        <w:t>____________________________________________________________</w:t>
      </w:r>
    </w:p>
    <w:p w:rsidR="004B385D" w:rsidRPr="0062531A" w:rsidRDefault="004B385D" w:rsidP="004B385D">
      <w:pPr>
        <w:autoSpaceDE w:val="0"/>
        <w:autoSpaceDN w:val="0"/>
        <w:adjustRightInd w:val="0"/>
        <w:spacing w:after="0" w:line="240" w:lineRule="auto"/>
        <w:jc w:val="both"/>
        <w:rPr>
          <w:rFonts w:asciiTheme="majorBidi" w:hAnsiTheme="majorBidi" w:cstheme="majorBidi"/>
          <w:sz w:val="20"/>
          <w:szCs w:val="20"/>
        </w:rPr>
      </w:pPr>
      <w:r w:rsidRPr="0062531A">
        <w:rPr>
          <w:rFonts w:asciiTheme="majorBidi" w:hAnsiTheme="majorBidi" w:cstheme="majorBidi"/>
          <w:sz w:val="20"/>
          <w:szCs w:val="20"/>
        </w:rPr>
        <w:t>FRANCIS A. CAREY and RICHARD J. SUNDBERG, Advanced Organic Chemistry 5</w:t>
      </w:r>
      <w:r w:rsidRPr="0062531A">
        <w:rPr>
          <w:rFonts w:asciiTheme="majorBidi" w:hAnsiTheme="majorBidi" w:cstheme="majorBidi"/>
          <w:sz w:val="20"/>
          <w:szCs w:val="20"/>
          <w:vertAlign w:val="superscript"/>
        </w:rPr>
        <w:t>th</w:t>
      </w:r>
      <w:r w:rsidRPr="0062531A">
        <w:rPr>
          <w:rFonts w:asciiTheme="majorBidi" w:hAnsiTheme="majorBidi" w:cstheme="majorBidi"/>
          <w:sz w:val="20"/>
          <w:szCs w:val="20"/>
        </w:rPr>
        <w:t xml:space="preserve"> EDITION, Part A &amp; Part B: Structure and Mechanisms, 2007, Springer Science Business Media, LLC.</w:t>
      </w:r>
    </w:p>
    <w:p w:rsidR="004B385D" w:rsidRPr="0062531A" w:rsidRDefault="004B385D" w:rsidP="004B385D">
      <w:pPr>
        <w:autoSpaceDE w:val="0"/>
        <w:autoSpaceDN w:val="0"/>
        <w:adjustRightInd w:val="0"/>
        <w:spacing w:after="0" w:line="276" w:lineRule="auto"/>
        <w:ind w:right="-225"/>
        <w:jc w:val="both"/>
        <w:rPr>
          <w:rFonts w:asciiTheme="majorBidi" w:hAnsiTheme="majorBidi" w:cstheme="majorBidi"/>
          <w:sz w:val="20"/>
          <w:szCs w:val="20"/>
        </w:rPr>
      </w:pPr>
    </w:p>
    <w:p w:rsidR="004B385D" w:rsidRDefault="004B385D" w:rsidP="004B385D">
      <w:pPr>
        <w:autoSpaceDE w:val="0"/>
        <w:autoSpaceDN w:val="0"/>
        <w:adjustRightInd w:val="0"/>
        <w:spacing w:after="0" w:line="276" w:lineRule="auto"/>
        <w:ind w:right="-225"/>
        <w:jc w:val="both"/>
        <w:rPr>
          <w:rFonts w:asciiTheme="majorBidi" w:hAnsiTheme="majorBidi" w:cstheme="majorBidi"/>
          <w:sz w:val="24"/>
          <w:szCs w:val="24"/>
        </w:rPr>
      </w:pPr>
    </w:p>
    <w:p w:rsidR="004B385D" w:rsidRPr="00F311BC" w:rsidRDefault="004B385D" w:rsidP="004B385D">
      <w:pPr>
        <w:autoSpaceDE w:val="0"/>
        <w:autoSpaceDN w:val="0"/>
        <w:adjustRightInd w:val="0"/>
        <w:spacing w:after="0" w:line="276" w:lineRule="auto"/>
        <w:ind w:right="-225"/>
        <w:jc w:val="both"/>
        <w:rPr>
          <w:rFonts w:asciiTheme="majorBidi" w:hAnsiTheme="majorBidi" w:cstheme="majorBidi"/>
          <w:b/>
          <w:bCs/>
        </w:rPr>
      </w:pPr>
      <w:r w:rsidRPr="00F311BC">
        <w:rPr>
          <w:rFonts w:asciiTheme="majorBidi" w:hAnsiTheme="majorBidi" w:cstheme="majorBidi"/>
          <w:b/>
          <w:bCs/>
        </w:rPr>
        <w:t xml:space="preserve">Professor Dr. Mehdi Salih Shihab </w:t>
      </w:r>
    </w:p>
    <w:p w:rsidR="004B385D" w:rsidRPr="00F311BC" w:rsidRDefault="004B385D" w:rsidP="004B385D">
      <w:pPr>
        <w:autoSpaceDE w:val="0"/>
        <w:autoSpaceDN w:val="0"/>
        <w:adjustRightInd w:val="0"/>
        <w:spacing w:after="0" w:line="276" w:lineRule="auto"/>
        <w:ind w:right="-225"/>
        <w:jc w:val="both"/>
        <w:rPr>
          <w:rFonts w:asciiTheme="majorBidi" w:hAnsiTheme="majorBidi" w:cstheme="majorBidi"/>
          <w:b/>
          <w:bCs/>
        </w:rPr>
      </w:pPr>
      <w:r w:rsidRPr="00F311BC">
        <w:rPr>
          <w:rFonts w:asciiTheme="majorBidi" w:hAnsiTheme="majorBidi" w:cstheme="majorBidi"/>
          <w:b/>
          <w:bCs/>
        </w:rPr>
        <w:t>Department of Chemistry</w:t>
      </w:r>
    </w:p>
    <w:p w:rsidR="00FE45E3" w:rsidRPr="00F311BC" w:rsidRDefault="004B385D" w:rsidP="00417D7A">
      <w:pPr>
        <w:autoSpaceDE w:val="0"/>
        <w:autoSpaceDN w:val="0"/>
        <w:adjustRightInd w:val="0"/>
        <w:spacing w:after="0" w:line="276" w:lineRule="auto"/>
        <w:ind w:right="-225"/>
        <w:jc w:val="both"/>
      </w:pPr>
      <w:r w:rsidRPr="00F311BC">
        <w:rPr>
          <w:rFonts w:asciiTheme="majorBidi" w:hAnsiTheme="majorBidi" w:cstheme="majorBidi"/>
          <w:b/>
          <w:bCs/>
        </w:rPr>
        <w:t>College of Science</w:t>
      </w:r>
    </w:p>
    <w:sectPr w:rsidR="00FE45E3" w:rsidRPr="00F311BC" w:rsidSect="006201C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5E0" w:rsidRDefault="004855E0" w:rsidP="00417D7A">
      <w:pPr>
        <w:spacing w:after="0" w:line="240" w:lineRule="auto"/>
      </w:pPr>
      <w:r>
        <w:separator/>
      </w:r>
    </w:p>
  </w:endnote>
  <w:endnote w:type="continuationSeparator" w:id="0">
    <w:p w:rsidR="004855E0" w:rsidRDefault="004855E0" w:rsidP="0041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740162"/>
      <w:docPartObj>
        <w:docPartGallery w:val="Page Numbers (Bottom of Page)"/>
        <w:docPartUnique/>
      </w:docPartObj>
    </w:sdtPr>
    <w:sdtEndPr>
      <w:rPr>
        <w:noProof/>
      </w:rPr>
    </w:sdtEndPr>
    <w:sdtContent>
      <w:p w:rsidR="00417D7A" w:rsidRDefault="00417D7A">
        <w:pPr>
          <w:pStyle w:val="Footer"/>
          <w:jc w:val="center"/>
        </w:pPr>
        <w:r>
          <w:fldChar w:fldCharType="begin"/>
        </w:r>
        <w:r>
          <w:instrText xml:space="preserve"> PAGE   \* MERGEFORMAT </w:instrText>
        </w:r>
        <w:r>
          <w:fldChar w:fldCharType="separate"/>
        </w:r>
        <w:r w:rsidR="009A0125">
          <w:rPr>
            <w:noProof/>
          </w:rPr>
          <w:t>1</w:t>
        </w:r>
        <w:r>
          <w:rPr>
            <w:noProof/>
          </w:rPr>
          <w:fldChar w:fldCharType="end"/>
        </w:r>
      </w:p>
    </w:sdtContent>
  </w:sdt>
  <w:p w:rsidR="00417D7A" w:rsidRDefault="00417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5E0" w:rsidRDefault="004855E0" w:rsidP="00417D7A">
      <w:pPr>
        <w:spacing w:after="0" w:line="240" w:lineRule="auto"/>
      </w:pPr>
      <w:r>
        <w:separator/>
      </w:r>
    </w:p>
  </w:footnote>
  <w:footnote w:type="continuationSeparator" w:id="0">
    <w:p w:rsidR="004855E0" w:rsidRDefault="004855E0" w:rsidP="00417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75E43"/>
    <w:multiLevelType w:val="hybridMultilevel"/>
    <w:tmpl w:val="A10A865A"/>
    <w:lvl w:ilvl="0" w:tplc="F67A6C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DF2454"/>
    <w:multiLevelType w:val="multilevel"/>
    <w:tmpl w:val="E9A6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5233DA"/>
    <w:multiLevelType w:val="multilevel"/>
    <w:tmpl w:val="E092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112B26"/>
    <w:multiLevelType w:val="multilevel"/>
    <w:tmpl w:val="1456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9B3859"/>
    <w:multiLevelType w:val="multilevel"/>
    <w:tmpl w:val="D46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5D"/>
    <w:rsid w:val="000A298A"/>
    <w:rsid w:val="002B2DB7"/>
    <w:rsid w:val="003B1742"/>
    <w:rsid w:val="00417D7A"/>
    <w:rsid w:val="004855E0"/>
    <w:rsid w:val="004B385D"/>
    <w:rsid w:val="00573980"/>
    <w:rsid w:val="00603C6B"/>
    <w:rsid w:val="006564A6"/>
    <w:rsid w:val="009256C3"/>
    <w:rsid w:val="009A0125"/>
    <w:rsid w:val="00BD786A"/>
    <w:rsid w:val="00F311BC"/>
    <w:rsid w:val="00F7123B"/>
    <w:rsid w:val="00FE4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85D"/>
  </w:style>
  <w:style w:type="paragraph" w:styleId="Heading2">
    <w:name w:val="heading 2"/>
    <w:basedOn w:val="Normal"/>
    <w:next w:val="Normal"/>
    <w:link w:val="Heading2Char"/>
    <w:uiPriority w:val="9"/>
    <w:semiHidden/>
    <w:unhideWhenUsed/>
    <w:qFormat/>
    <w:rsid w:val="004B38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B385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B385D"/>
    <w:pPr>
      <w:ind w:left="720"/>
      <w:contextualSpacing/>
    </w:pPr>
  </w:style>
  <w:style w:type="paragraph" w:styleId="Header">
    <w:name w:val="header"/>
    <w:basedOn w:val="Normal"/>
    <w:link w:val="HeaderChar"/>
    <w:uiPriority w:val="99"/>
    <w:unhideWhenUsed/>
    <w:rsid w:val="00417D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417D7A"/>
  </w:style>
  <w:style w:type="paragraph" w:styleId="Footer">
    <w:name w:val="footer"/>
    <w:basedOn w:val="Normal"/>
    <w:link w:val="FooterChar"/>
    <w:uiPriority w:val="99"/>
    <w:unhideWhenUsed/>
    <w:rsid w:val="00417D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7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85D"/>
  </w:style>
  <w:style w:type="paragraph" w:styleId="Heading2">
    <w:name w:val="heading 2"/>
    <w:basedOn w:val="Normal"/>
    <w:next w:val="Normal"/>
    <w:link w:val="Heading2Char"/>
    <w:uiPriority w:val="9"/>
    <w:semiHidden/>
    <w:unhideWhenUsed/>
    <w:qFormat/>
    <w:rsid w:val="004B38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B385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B385D"/>
    <w:pPr>
      <w:ind w:left="720"/>
      <w:contextualSpacing/>
    </w:pPr>
  </w:style>
  <w:style w:type="paragraph" w:styleId="Header">
    <w:name w:val="header"/>
    <w:basedOn w:val="Normal"/>
    <w:link w:val="HeaderChar"/>
    <w:uiPriority w:val="99"/>
    <w:unhideWhenUsed/>
    <w:rsid w:val="00417D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417D7A"/>
  </w:style>
  <w:style w:type="paragraph" w:styleId="Footer">
    <w:name w:val="footer"/>
    <w:basedOn w:val="Normal"/>
    <w:link w:val="FooterChar"/>
    <w:uiPriority w:val="99"/>
    <w:unhideWhenUsed/>
    <w:rsid w:val="00417D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7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User46</dc:creator>
  <cp:lastModifiedBy>pp</cp:lastModifiedBy>
  <cp:revision>2</cp:revision>
  <dcterms:created xsi:type="dcterms:W3CDTF">2019-04-14T08:45:00Z</dcterms:created>
  <dcterms:modified xsi:type="dcterms:W3CDTF">2019-04-14T08:45:00Z</dcterms:modified>
</cp:coreProperties>
</file>